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0A" w:rsidRPr="0049510A" w:rsidRDefault="0049510A" w:rsidP="0049510A">
      <w:pPr>
        <w:pStyle w:val="NormalWeb"/>
        <w:jc w:val="both"/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</w:pPr>
      <w:r w:rsidRPr="0049510A"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  <w:t>Question:</w:t>
      </w:r>
    </w:p>
    <w:p w:rsidR="007E3131" w:rsidRDefault="007E3131" w:rsidP="007E313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bg-BG"/>
        </w:rPr>
      </w:pPr>
    </w:p>
    <w:p w:rsidR="002A4C86" w:rsidRPr="002A4C86" w:rsidRDefault="002A4C86" w:rsidP="002A4C86">
      <w:pPr>
        <w:pStyle w:val="NormalWeb"/>
        <w:spacing w:before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We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would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like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to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thank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Commission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services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team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for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answer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 (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of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23.06.2017) 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to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question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related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to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Art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. 4,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para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. 5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and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Recital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(19)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of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Preamble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of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Commission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Regulation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(EU)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No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1407/2013.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However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,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order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to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ensure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proper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interpretation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our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practice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,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would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be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of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great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benefit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to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receive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more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detail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following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statement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included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your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answer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:</w:t>
      </w:r>
      <w:r w:rsidRPr="002A4C86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2A4C86" w:rsidRPr="002A4C86" w:rsidRDefault="002A4C86" w:rsidP="002A4C86">
      <w:pPr>
        <w:pStyle w:val="NormalWeb"/>
        <w:jc w:val="both"/>
        <w:rPr>
          <w:rFonts w:ascii="Arial" w:hAnsi="Arial" w:cs="Arial"/>
          <w:color w:val="000000"/>
          <w:sz w:val="21"/>
          <w:szCs w:val="21"/>
        </w:rPr>
      </w:pPr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“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provided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for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Article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4(5)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of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that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Regulation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,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de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minimis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ceiling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respected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for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all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single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undertakings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,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meaning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also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level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of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co-investors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(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including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fund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managers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co-investing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)”. </w:t>
      </w:r>
    </w:p>
    <w:p w:rsidR="002A4C86" w:rsidRPr="002A4C86" w:rsidRDefault="002A4C86" w:rsidP="002A4C86">
      <w:pPr>
        <w:pStyle w:val="NormalWeb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context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of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your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answer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,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does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public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equity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investment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level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of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financial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instrument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need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to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be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within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thresholds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specified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Article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4(5)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of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Regulation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?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worthwhile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noting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that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public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equity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investment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will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be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investment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fund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(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investment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vehicle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)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and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not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equity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of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fund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manager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?</w:t>
      </w:r>
      <w:r w:rsidRPr="002A4C86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2A4C86" w:rsidRPr="002A4C86" w:rsidRDefault="002A4C86" w:rsidP="002A4C86">
      <w:pPr>
        <w:pStyle w:val="NormalWeb"/>
        <w:jc w:val="both"/>
        <w:rPr>
          <w:rFonts w:ascii="Arial" w:hAnsi="Arial" w:cs="Arial"/>
          <w:color w:val="000000"/>
          <w:sz w:val="21"/>
          <w:szCs w:val="21"/>
        </w:rPr>
      </w:pPr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 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For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sake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of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clear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and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objective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illustration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of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combination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of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state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aid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regimes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we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are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exploring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to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apply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one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of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our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products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,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we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would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like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to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specify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that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they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are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consistent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approach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applied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Call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for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Expression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of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Interest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No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. JER-009/8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to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select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Financial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Intermediaries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that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will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receive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resources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from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reflows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of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JEREMIE Holding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Fund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for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Bulgaria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to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implement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Early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Stage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Fund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(s)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Acceleration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Compartment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. EIF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duly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mandated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to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manage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this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Call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,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where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indicative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public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funding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foreseen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EUR 40m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and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fund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manager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will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be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required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to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commit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least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2%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of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total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fund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size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(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pari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passu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terms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).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Summary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of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Transactions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Terms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Annex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II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of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Call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,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provides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for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following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state-aid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relevant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details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: </w:t>
      </w:r>
    </w:p>
    <w:p w:rsidR="002A4C86" w:rsidRPr="002A4C86" w:rsidRDefault="002A4C86" w:rsidP="002A4C86">
      <w:pPr>
        <w:pStyle w:val="NormalWeb"/>
        <w:jc w:val="both"/>
        <w:rPr>
          <w:rFonts w:ascii="Arial" w:hAnsi="Arial" w:cs="Arial"/>
          <w:color w:val="000000"/>
          <w:sz w:val="21"/>
          <w:szCs w:val="21"/>
        </w:rPr>
      </w:pPr>
      <w:r w:rsidRPr="002A4C86">
        <w:rPr>
          <w:rFonts w:ascii="Arial" w:hAnsi="Arial" w:cs="Arial"/>
          <w:color w:val="000000"/>
          <w:sz w:val="21"/>
          <w:szCs w:val="21"/>
        </w:rPr>
        <w:t xml:space="preserve">-     </w:t>
      </w:r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Investments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of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up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to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EUR 200,000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are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subject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to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state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aid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regime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defined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by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Commission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Regulation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(EC)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No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1407/2013.Investments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and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Follow-on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Investments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above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EUR 200,000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and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up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to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EUR [1,500,000]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p.a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.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are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subject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to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art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. 2.1.1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of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Guidelines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State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aid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to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promote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risk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finance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investments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(2014/C 19/04)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Each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investment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or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Follow-on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Investment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exceeding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EUR 200,000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requires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least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30%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private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co-investors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Eligible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SME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underlying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level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accordance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art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. 2.1.1 (31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to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35)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of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Guidelines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State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aid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to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promote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risk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finance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investments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(2014/C 19/04). JHF [a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company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wholly-owned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by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EIF]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could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be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only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investor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Fund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besides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management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team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own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commitment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.</w:t>
      </w:r>
      <w:r w:rsidRPr="002A4C86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AC2A6A" w:rsidRPr="002A4C86" w:rsidRDefault="002A4C86" w:rsidP="002A4C8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 xml:space="preserve"> То </w:t>
      </w:r>
      <w:proofErr w:type="spellStart"/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>conclude</w:t>
      </w:r>
      <w:proofErr w:type="spellEnd"/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 xml:space="preserve"> </w:t>
      </w:r>
      <w:proofErr w:type="spellStart"/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>the</w:t>
      </w:r>
      <w:proofErr w:type="spellEnd"/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 xml:space="preserve"> </w:t>
      </w:r>
      <w:proofErr w:type="spellStart"/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>argument</w:t>
      </w:r>
      <w:proofErr w:type="spellEnd"/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 xml:space="preserve">, </w:t>
      </w:r>
      <w:proofErr w:type="spellStart"/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>do</w:t>
      </w:r>
      <w:proofErr w:type="spellEnd"/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 xml:space="preserve"> </w:t>
      </w:r>
      <w:proofErr w:type="spellStart"/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>you</w:t>
      </w:r>
      <w:proofErr w:type="spellEnd"/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 xml:space="preserve"> </w:t>
      </w:r>
      <w:proofErr w:type="spellStart"/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>think</w:t>
      </w:r>
      <w:proofErr w:type="spellEnd"/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 xml:space="preserve"> a </w:t>
      </w:r>
      <w:proofErr w:type="spellStart"/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>structure</w:t>
      </w:r>
      <w:proofErr w:type="spellEnd"/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 xml:space="preserve"> </w:t>
      </w:r>
      <w:proofErr w:type="spellStart"/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>consistent</w:t>
      </w:r>
      <w:proofErr w:type="spellEnd"/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 xml:space="preserve"> </w:t>
      </w:r>
      <w:proofErr w:type="spellStart"/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>with</w:t>
      </w:r>
      <w:proofErr w:type="spellEnd"/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 xml:space="preserve"> </w:t>
      </w:r>
      <w:proofErr w:type="spellStart"/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>the</w:t>
      </w:r>
      <w:proofErr w:type="spellEnd"/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 xml:space="preserve"> </w:t>
      </w:r>
      <w:proofErr w:type="spellStart"/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>one</w:t>
      </w:r>
      <w:proofErr w:type="spellEnd"/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 xml:space="preserve"> </w:t>
      </w:r>
      <w:proofErr w:type="spellStart"/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>objectively</w:t>
      </w:r>
      <w:proofErr w:type="spellEnd"/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 xml:space="preserve"> </w:t>
      </w:r>
      <w:proofErr w:type="spellStart"/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>described</w:t>
      </w:r>
      <w:proofErr w:type="spellEnd"/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 xml:space="preserve"> </w:t>
      </w:r>
      <w:proofErr w:type="spellStart"/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>above</w:t>
      </w:r>
      <w:proofErr w:type="spellEnd"/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 xml:space="preserve"> </w:t>
      </w:r>
      <w:proofErr w:type="spellStart"/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>could</w:t>
      </w:r>
      <w:proofErr w:type="spellEnd"/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 xml:space="preserve"> </w:t>
      </w:r>
      <w:proofErr w:type="spellStart"/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>be</w:t>
      </w:r>
      <w:proofErr w:type="spellEnd"/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 xml:space="preserve"> </w:t>
      </w:r>
      <w:proofErr w:type="spellStart"/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>considered</w:t>
      </w:r>
      <w:proofErr w:type="spellEnd"/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 xml:space="preserve"> </w:t>
      </w:r>
      <w:proofErr w:type="spellStart"/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>compliant</w:t>
      </w:r>
      <w:proofErr w:type="spellEnd"/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 xml:space="preserve"> </w:t>
      </w:r>
      <w:proofErr w:type="spellStart"/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>with</w:t>
      </w:r>
      <w:proofErr w:type="spellEnd"/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 xml:space="preserve"> </w:t>
      </w:r>
      <w:proofErr w:type="spellStart"/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>the</w:t>
      </w:r>
      <w:proofErr w:type="spellEnd"/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 xml:space="preserve"> </w:t>
      </w:r>
      <w:proofErr w:type="spellStart"/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>concept</w:t>
      </w:r>
      <w:proofErr w:type="spellEnd"/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 xml:space="preserve"> </w:t>
      </w:r>
      <w:proofErr w:type="spellStart"/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>presented</w:t>
      </w:r>
      <w:proofErr w:type="spellEnd"/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 xml:space="preserve"> </w:t>
      </w:r>
      <w:proofErr w:type="spellStart"/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>in</w:t>
      </w:r>
      <w:proofErr w:type="spellEnd"/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 xml:space="preserve"> </w:t>
      </w:r>
      <w:proofErr w:type="spellStart"/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>your</w:t>
      </w:r>
      <w:proofErr w:type="spellEnd"/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 xml:space="preserve"> </w:t>
      </w:r>
      <w:proofErr w:type="spellStart"/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>answer</w:t>
      </w:r>
      <w:proofErr w:type="spellEnd"/>
      <w:r w:rsidRPr="002A4C86">
        <w:rPr>
          <w:rFonts w:ascii="Arial" w:eastAsia="Times New Roman" w:hAnsi="Arial" w:cs="Arial"/>
          <w:i/>
          <w:iCs/>
          <w:color w:val="000000"/>
          <w:sz w:val="21"/>
          <w:szCs w:val="21"/>
          <w:lang w:eastAsia="bg-BG"/>
        </w:rPr>
        <w:t xml:space="preserve">?  </w:t>
      </w:r>
    </w:p>
    <w:p w:rsidR="002A4C86" w:rsidRDefault="002A4C86" w:rsidP="0049510A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</w:pPr>
    </w:p>
    <w:p w:rsidR="0049510A" w:rsidRPr="0049510A" w:rsidRDefault="0049510A" w:rsidP="0049510A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</w:pPr>
      <w:proofErr w:type="spellStart"/>
      <w:r w:rsidRPr="0049510A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  <w:t>Reply</w:t>
      </w:r>
      <w:proofErr w:type="spellEnd"/>
      <w:r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  <w:t>:</w:t>
      </w:r>
    </w:p>
    <w:p w:rsidR="002A4C86" w:rsidRPr="002A4C86" w:rsidRDefault="002A4C86" w:rsidP="002A4C86">
      <w:pPr>
        <w:pStyle w:val="NormalWeb"/>
        <w:spacing w:before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bookmarkStart w:id="0" w:name="_GoBack"/>
      <w:bookmarkEnd w:id="0"/>
    </w:p>
    <w:p w:rsidR="002A4C86" w:rsidRPr="002A4C86" w:rsidRDefault="002A4C86" w:rsidP="002A4C86">
      <w:pPr>
        <w:pStyle w:val="NormalWeb"/>
        <w:spacing w:before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1)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public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equity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level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of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fund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does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not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have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to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be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within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thresholds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specified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Article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4(5)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of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Regulation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if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there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no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aid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to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co-investors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fund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.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case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hand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,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based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information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provided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,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public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equity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will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be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co-invested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fund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manager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pari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passu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terms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, i. e.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does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not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appear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to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confer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advantage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fund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manager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.</w:t>
      </w:r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</w:p>
    <w:p w:rsidR="002A4C86" w:rsidRPr="002A4C86" w:rsidRDefault="002A4C86" w:rsidP="002A4C86">
      <w:pPr>
        <w:pStyle w:val="NormalWeb"/>
        <w:spacing w:before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2)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From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information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provided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above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,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we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understand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following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:</w:t>
      </w:r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</w:p>
    <w:p w:rsidR="002A4C86" w:rsidRPr="002A4C86" w:rsidRDefault="002A4C86" w:rsidP="002A4C86">
      <w:pPr>
        <w:pStyle w:val="NormalWeb"/>
        <w:spacing w:before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Investments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below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EUR 200,000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would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be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made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line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de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minimis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regulation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.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This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means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,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investments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would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not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be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market-conform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and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confers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advantage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target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recipients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,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however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,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advantage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does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not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constitute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State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aid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(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de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minimis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aid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).</w:t>
      </w:r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</w:p>
    <w:p w:rsidR="002A4C86" w:rsidRPr="002A4C86" w:rsidRDefault="002A4C86" w:rsidP="002A4C86">
      <w:pPr>
        <w:pStyle w:val="NormalWeb"/>
        <w:spacing w:before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investments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above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EUR 200,000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would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be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made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pari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passu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terms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private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co-investors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a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project-by-project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basis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.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Provided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public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investment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carried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out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color w:val="000000"/>
          <w:sz w:val="21"/>
          <w:szCs w:val="21"/>
        </w:rPr>
        <w:t>pari</w:t>
      </w:r>
      <w:proofErr w:type="spellEnd"/>
      <w:r w:rsidRPr="002A4C8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color w:val="000000"/>
          <w:sz w:val="21"/>
          <w:szCs w:val="21"/>
        </w:rPr>
        <w:t>passu</w:t>
      </w:r>
      <w:proofErr w:type="spellEnd"/>
      <w:r w:rsidRPr="002A4C8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min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30%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genuine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independent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private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investors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line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point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2.1.1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of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Risk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Finance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Guidelines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and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4.2.3.1(i)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of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Notice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of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Notion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of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Aid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,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could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be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considered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market-conform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.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However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,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market-conformity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cannot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be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ensured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,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must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be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designed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line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risk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finance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rules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(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GBER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or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Risk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Finance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Guidelines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).</w:t>
      </w:r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</w:p>
    <w:p w:rsidR="002A4C86" w:rsidRPr="002A4C86" w:rsidRDefault="002A4C86" w:rsidP="002A4C86">
      <w:pPr>
        <w:pStyle w:val="NormalWeb"/>
        <w:spacing w:before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a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general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principle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,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possible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to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have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a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construction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whereby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some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investment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activities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of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fund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are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carried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out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market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terms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and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others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not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,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in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which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case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this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may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constitute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State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aid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(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unless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is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de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minimis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aid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)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and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need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to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comply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relevant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State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aid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rules</w:t>
      </w:r>
      <w:proofErr w:type="spellEnd"/>
      <w:r w:rsidRPr="002A4C86">
        <w:rPr>
          <w:rFonts w:ascii="Arial" w:hAnsi="Arial" w:cs="Arial"/>
          <w:i/>
          <w:iCs/>
          <w:color w:val="000000"/>
          <w:sz w:val="21"/>
          <w:szCs w:val="21"/>
        </w:rPr>
        <w:t>.</w:t>
      </w:r>
      <w:r w:rsidRPr="002A4C8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</w:p>
    <w:p w:rsidR="002A4C86" w:rsidRDefault="002A4C86" w:rsidP="002A4C86">
      <w:pPr>
        <w:pStyle w:val="NormalWeb"/>
        <w:jc w:val="both"/>
        <w:rPr>
          <w:rFonts w:ascii="Helvetica" w:hAnsi="Helvetica" w:cs="Helvetica"/>
          <w:color w:val="333333"/>
        </w:rPr>
      </w:pPr>
    </w:p>
    <w:p w:rsidR="0049510A" w:rsidRPr="0049510A" w:rsidRDefault="002A4C86" w:rsidP="002A4C86">
      <w:pPr>
        <w:spacing w:after="0" w:line="240" w:lineRule="auto"/>
        <w:jc w:val="both"/>
        <w:rPr>
          <w:lang w:val="en-US"/>
        </w:rPr>
      </w:pPr>
      <w:proofErr w:type="spellStart"/>
      <w:r>
        <w:rPr>
          <w:rStyle w:val="Emphasis"/>
          <w:rFonts w:ascii="Helvetica" w:hAnsi="Helvetica" w:cs="Helvetica"/>
          <w:color w:val="333333"/>
        </w:rPr>
        <w:t>Disclaimer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: </w:t>
      </w:r>
      <w:proofErr w:type="spellStart"/>
      <w:r>
        <w:rPr>
          <w:rStyle w:val="Emphasis"/>
          <w:rFonts w:ascii="Helvetica" w:hAnsi="Helvetica" w:cs="Helvetica"/>
          <w:color w:val="333333"/>
        </w:rPr>
        <w:t>This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reply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does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not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represent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a </w:t>
      </w:r>
      <w:proofErr w:type="spellStart"/>
      <w:r>
        <w:rPr>
          <w:rStyle w:val="Emphasis"/>
          <w:rFonts w:ascii="Helvetica" w:hAnsi="Helvetica" w:cs="Helvetica"/>
          <w:color w:val="333333"/>
        </w:rPr>
        <w:t>formal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and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definite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position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of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the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European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Commission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but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is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only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an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informal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guidance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provided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by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the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services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of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DG </w:t>
      </w:r>
      <w:proofErr w:type="spellStart"/>
      <w:r>
        <w:rPr>
          <w:rStyle w:val="Emphasis"/>
          <w:rFonts w:ascii="Helvetica" w:hAnsi="Helvetica" w:cs="Helvetica"/>
          <w:color w:val="333333"/>
        </w:rPr>
        <w:t>Competition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to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facilitate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the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application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of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the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GBER. </w:t>
      </w:r>
      <w:proofErr w:type="spellStart"/>
      <w:r>
        <w:rPr>
          <w:rStyle w:val="Emphasis"/>
          <w:rFonts w:ascii="Helvetica" w:hAnsi="Helvetica" w:cs="Helvetica"/>
          <w:color w:val="333333"/>
        </w:rPr>
        <w:t>It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is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therefore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not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binding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and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cannot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create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legal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certainty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or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legitimate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expectations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. </w:t>
      </w:r>
    </w:p>
    <w:sectPr w:rsidR="0049510A" w:rsidRPr="0049510A" w:rsidSect="00AF5460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25024"/>
    <w:multiLevelType w:val="multilevel"/>
    <w:tmpl w:val="699E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9D"/>
    <w:rsid w:val="000F6CFD"/>
    <w:rsid w:val="00221E3F"/>
    <w:rsid w:val="002A4C86"/>
    <w:rsid w:val="0049510A"/>
    <w:rsid w:val="00517436"/>
    <w:rsid w:val="005314FC"/>
    <w:rsid w:val="00593E86"/>
    <w:rsid w:val="005C3602"/>
    <w:rsid w:val="0064124D"/>
    <w:rsid w:val="007E2E7E"/>
    <w:rsid w:val="007E3131"/>
    <w:rsid w:val="00911B9D"/>
    <w:rsid w:val="0091503B"/>
    <w:rsid w:val="00A56A06"/>
    <w:rsid w:val="00AC2A6A"/>
    <w:rsid w:val="00AF5460"/>
    <w:rsid w:val="00CA04BA"/>
    <w:rsid w:val="00D24972"/>
    <w:rsid w:val="00D45754"/>
    <w:rsid w:val="00D53A42"/>
    <w:rsid w:val="00D73809"/>
    <w:rsid w:val="00DC4A07"/>
    <w:rsid w:val="00E93701"/>
    <w:rsid w:val="00E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C189"/>
  <w15:docId w15:val="{D7313785-70E8-4359-805D-7041492B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10A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49510A"/>
    <w:rPr>
      <w:i/>
      <w:iCs/>
    </w:rPr>
  </w:style>
  <w:style w:type="character" w:customStyle="1" w:styleId="expand-control-text">
    <w:name w:val="expand-control-text"/>
    <w:basedOn w:val="DefaultParagraphFont"/>
    <w:rsid w:val="0049510A"/>
  </w:style>
  <w:style w:type="paragraph" w:customStyle="1" w:styleId="auto-cursor-target">
    <w:name w:val="auto-cursor-target"/>
    <w:basedOn w:val="Normal"/>
    <w:uiPriority w:val="99"/>
    <w:semiHidden/>
    <w:rsid w:val="002A4C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customStyle="1" w:styleId="diff-html-removed">
    <w:name w:val="diff-html-removed"/>
    <w:basedOn w:val="DefaultParagraphFont"/>
    <w:rsid w:val="002A4C86"/>
  </w:style>
  <w:style w:type="character" w:customStyle="1" w:styleId="diff-html-added">
    <w:name w:val="diff-html-added"/>
    <w:basedOn w:val="DefaultParagraphFont"/>
    <w:rsid w:val="002A4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49450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7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463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57362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86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26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11259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27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04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72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4710">
                      <w:marLeft w:val="4275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7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8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1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33156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22530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40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31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3002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759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03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585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487">
                      <w:marLeft w:val="4275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8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1986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9276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80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77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86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54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87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659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6817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7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9725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74302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2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2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053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16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25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Ивелина Кирилова</dc:creator>
  <cp:lastModifiedBy>Ивелина Кирилова</cp:lastModifiedBy>
  <cp:revision>4</cp:revision>
  <dcterms:created xsi:type="dcterms:W3CDTF">2017-06-28T09:28:00Z</dcterms:created>
  <dcterms:modified xsi:type="dcterms:W3CDTF">2017-07-26T12:01:00Z</dcterms:modified>
</cp:coreProperties>
</file>